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5C" w:rsidRDefault="003A5A6B" w:rsidP="00615CCC">
      <w:pPr>
        <w:jc w:val="center"/>
        <w:rPr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33475" cy="1347470"/>
            <wp:effectExtent l="0" t="0" r="952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CCC" w:rsidRPr="00615CCC">
        <w:rPr>
          <w:sz w:val="28"/>
          <w:szCs w:val="28"/>
          <w:u w:val="single"/>
        </w:rPr>
        <w:t>Accès à la « Hors classe »</w:t>
      </w:r>
    </w:p>
    <w:p w:rsidR="00615CCC" w:rsidRDefault="00615CCC" w:rsidP="00615CCC">
      <w:pPr>
        <w:jc w:val="both"/>
        <w:rPr>
          <w:sz w:val="24"/>
          <w:szCs w:val="24"/>
          <w:u w:val="single"/>
        </w:rPr>
      </w:pPr>
    </w:p>
    <w:p w:rsidR="00615CCC" w:rsidRDefault="00615CCC" w:rsidP="00615CCC">
      <w:pPr>
        <w:spacing w:after="0"/>
        <w:jc w:val="both"/>
        <w:rPr>
          <w:sz w:val="24"/>
          <w:szCs w:val="24"/>
        </w:rPr>
      </w:pPr>
      <w:r w:rsidRPr="00AB123B">
        <w:rPr>
          <w:b/>
          <w:sz w:val="24"/>
          <w:szCs w:val="24"/>
          <w:u w:val="single"/>
        </w:rPr>
        <w:t>Qui est promouvable ?</w:t>
      </w:r>
      <w:r>
        <w:rPr>
          <w:sz w:val="24"/>
          <w:szCs w:val="24"/>
        </w:rPr>
        <w:t xml:space="preserve"> Les PsyEN qui comptent au 31 aout 2020 au moins deux ans d’ancienneté dans le 9</w:t>
      </w:r>
      <w:r w:rsidRPr="00615CC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échelon de la classe normale.</w:t>
      </w:r>
    </w:p>
    <w:p w:rsidR="00615CCC" w:rsidRDefault="00615CCC" w:rsidP="00615C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Ces informations sont accessibles dans votre dossier I-Prof. Le CV est notamment à actualiser et à compléter.</w:t>
      </w:r>
    </w:p>
    <w:p w:rsidR="00AB123B" w:rsidRDefault="00AB123B" w:rsidP="00615CCC">
      <w:pPr>
        <w:spacing w:after="0"/>
        <w:jc w:val="both"/>
        <w:rPr>
          <w:sz w:val="24"/>
          <w:szCs w:val="24"/>
        </w:rPr>
      </w:pPr>
    </w:p>
    <w:p w:rsidR="00AB123B" w:rsidRPr="00887DCF" w:rsidRDefault="00AB123B" w:rsidP="00615CCC">
      <w:pPr>
        <w:spacing w:after="0"/>
        <w:jc w:val="both"/>
        <w:rPr>
          <w:sz w:val="24"/>
          <w:szCs w:val="24"/>
        </w:rPr>
      </w:pPr>
      <w:r w:rsidRPr="00AB123B">
        <w:rPr>
          <w:b/>
          <w:sz w:val="24"/>
          <w:szCs w:val="24"/>
          <w:u w:val="single"/>
        </w:rPr>
        <w:t>Le tableau d’avancement</w:t>
      </w:r>
      <w:r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Tous les PsyEN promouvables sont ensuite classés dans un tableau d’avancement en fonction de </w:t>
      </w:r>
      <w:r w:rsidRPr="00AB123B">
        <w:rPr>
          <w:sz w:val="24"/>
          <w:szCs w:val="24"/>
          <w:u w:val="single"/>
        </w:rPr>
        <w:t xml:space="preserve">leur « valeur professionnelle » </w:t>
      </w:r>
      <w:r w:rsidRPr="00AB123B">
        <w:rPr>
          <w:sz w:val="24"/>
          <w:szCs w:val="24"/>
        </w:rPr>
        <w:t>avec l’appréciation finale du recteur et</w:t>
      </w:r>
      <w:r w:rsidRPr="00AB123B">
        <w:rPr>
          <w:sz w:val="24"/>
          <w:szCs w:val="24"/>
          <w:u w:val="single"/>
        </w:rPr>
        <w:t xml:space="preserve"> de l’ancienneté.</w:t>
      </w:r>
      <w:r w:rsidR="00887DCF">
        <w:rPr>
          <w:sz w:val="24"/>
          <w:szCs w:val="24"/>
          <w:u w:val="single"/>
        </w:rPr>
        <w:t xml:space="preserve"> </w:t>
      </w:r>
      <w:r w:rsidR="00887DCF">
        <w:rPr>
          <w:sz w:val="24"/>
          <w:szCs w:val="24"/>
        </w:rPr>
        <w:t>A barème égal on est classé par date d’entrée dans le corps, échelon, ancienneté dans l’échelon puis âge.</w:t>
      </w:r>
    </w:p>
    <w:p w:rsidR="00AB123B" w:rsidRDefault="00AB123B" w:rsidP="00615CCC">
      <w:pPr>
        <w:spacing w:after="0"/>
        <w:jc w:val="both"/>
        <w:rPr>
          <w:sz w:val="24"/>
          <w:szCs w:val="24"/>
        </w:rPr>
      </w:pPr>
      <w:r w:rsidRPr="00AB123B">
        <w:rPr>
          <w:sz w:val="24"/>
          <w:szCs w:val="24"/>
          <w:u w:val="single"/>
        </w:rPr>
        <w:t>Avis du recteur</w:t>
      </w:r>
      <w:r>
        <w:rPr>
          <w:sz w:val="24"/>
          <w:szCs w:val="24"/>
        </w:rPr>
        <w:t> :</w:t>
      </w:r>
    </w:p>
    <w:p w:rsidR="00AB123B" w:rsidRPr="00727156" w:rsidRDefault="00AB123B" w:rsidP="00AB123B">
      <w:pPr>
        <w:spacing w:after="0"/>
        <w:jc w:val="both"/>
        <w:rPr>
          <w:b/>
          <w:bCs/>
          <w:sz w:val="24"/>
          <w:szCs w:val="24"/>
        </w:rPr>
      </w:pPr>
      <w:r w:rsidRPr="00727156">
        <w:rPr>
          <w:b/>
          <w:bCs/>
          <w:sz w:val="24"/>
          <w:szCs w:val="24"/>
        </w:rPr>
        <w:t>Pour ceux ayant eu un rendez-vous de carrière du 9</w:t>
      </w:r>
      <w:r w:rsidRPr="00727156">
        <w:rPr>
          <w:b/>
          <w:bCs/>
          <w:sz w:val="24"/>
          <w:szCs w:val="24"/>
          <w:vertAlign w:val="superscript"/>
        </w:rPr>
        <w:t>ème</w:t>
      </w:r>
      <w:r w:rsidRPr="00727156">
        <w:rPr>
          <w:b/>
          <w:bCs/>
          <w:sz w:val="24"/>
          <w:szCs w:val="24"/>
        </w:rPr>
        <w:t xml:space="preserve"> échelon en 2018-2019: </w:t>
      </w:r>
      <w:r w:rsidRPr="00727156">
        <w:rPr>
          <w:bCs/>
          <w:sz w:val="24"/>
          <w:szCs w:val="24"/>
        </w:rPr>
        <w:t>il s’agit de l’appréciation finale rendue à l’issue de ce 3</w:t>
      </w:r>
      <w:r w:rsidRPr="00727156">
        <w:rPr>
          <w:bCs/>
          <w:sz w:val="24"/>
          <w:szCs w:val="24"/>
          <w:vertAlign w:val="superscript"/>
        </w:rPr>
        <w:t>ème</w:t>
      </w:r>
      <w:r w:rsidRPr="00727156">
        <w:rPr>
          <w:bCs/>
          <w:sz w:val="24"/>
          <w:szCs w:val="24"/>
        </w:rPr>
        <w:t xml:space="preserve"> rendez-vous de carrière.</w:t>
      </w:r>
    </w:p>
    <w:p w:rsidR="00AB123B" w:rsidRPr="00727156" w:rsidRDefault="00AB123B" w:rsidP="00AB123B">
      <w:pPr>
        <w:spacing w:after="0"/>
        <w:jc w:val="both"/>
        <w:rPr>
          <w:bCs/>
          <w:sz w:val="24"/>
          <w:szCs w:val="24"/>
        </w:rPr>
      </w:pPr>
      <w:r w:rsidRPr="00727156">
        <w:rPr>
          <w:b/>
          <w:bCs/>
          <w:sz w:val="24"/>
          <w:szCs w:val="24"/>
        </w:rPr>
        <w:t>Pour ceux déjà promouvables à la HC en 2019</w:t>
      </w:r>
      <w:r w:rsidR="00411697" w:rsidRPr="00727156">
        <w:rPr>
          <w:b/>
          <w:bCs/>
          <w:sz w:val="24"/>
          <w:szCs w:val="24"/>
        </w:rPr>
        <w:t xml:space="preserve"> ou en 2018 </w:t>
      </w:r>
      <w:r w:rsidRPr="00727156">
        <w:rPr>
          <w:b/>
          <w:bCs/>
          <w:sz w:val="24"/>
          <w:szCs w:val="24"/>
        </w:rPr>
        <w:t xml:space="preserve">: </w:t>
      </w:r>
      <w:r w:rsidRPr="00727156">
        <w:rPr>
          <w:bCs/>
          <w:sz w:val="24"/>
          <w:szCs w:val="24"/>
        </w:rPr>
        <w:t>il s’agit de l’appréciation finale</w:t>
      </w:r>
      <w:r w:rsidR="00411697" w:rsidRPr="00727156">
        <w:rPr>
          <w:bCs/>
          <w:sz w:val="24"/>
          <w:szCs w:val="24"/>
        </w:rPr>
        <w:t xml:space="preserve"> déjà</w:t>
      </w:r>
      <w:r w:rsidRPr="00727156">
        <w:rPr>
          <w:bCs/>
          <w:sz w:val="24"/>
          <w:szCs w:val="24"/>
        </w:rPr>
        <w:t xml:space="preserve"> attribuée. Elle n’est pas révisable.</w:t>
      </w:r>
    </w:p>
    <w:p w:rsidR="00AB123B" w:rsidRDefault="00AB123B" w:rsidP="00AB123B">
      <w:pPr>
        <w:spacing w:after="0"/>
        <w:jc w:val="both"/>
        <w:rPr>
          <w:bCs/>
          <w:sz w:val="24"/>
          <w:szCs w:val="24"/>
        </w:rPr>
      </w:pPr>
      <w:r w:rsidRPr="00AB123B">
        <w:rPr>
          <w:b/>
          <w:bCs/>
          <w:sz w:val="24"/>
          <w:szCs w:val="24"/>
        </w:rPr>
        <w:t xml:space="preserve">Pour ceux n’ayant aucune appréciation finale : </w:t>
      </w:r>
      <w:r w:rsidRPr="00AB123B">
        <w:rPr>
          <w:bCs/>
          <w:sz w:val="24"/>
          <w:szCs w:val="24"/>
        </w:rPr>
        <w:t>l’appréciation sera faite selon les mêmes modalités que l’an dernier. Elle sera conservée pour les campagnes HC ultérieures.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92"/>
        <w:gridCol w:w="2061"/>
        <w:gridCol w:w="2051"/>
        <w:gridCol w:w="1900"/>
      </w:tblGrid>
      <w:tr w:rsidR="00AB123B" w:rsidRPr="00AB123B" w:rsidTr="006060D4">
        <w:trPr>
          <w:jc w:val="center"/>
        </w:trPr>
        <w:tc>
          <w:tcPr>
            <w:tcW w:w="1923" w:type="dxa"/>
          </w:tcPr>
          <w:p w:rsidR="00AB123B" w:rsidRPr="00AB123B" w:rsidRDefault="00AB123B" w:rsidP="00AB123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B123B">
              <w:rPr>
                <w:bCs/>
                <w:sz w:val="24"/>
                <w:szCs w:val="24"/>
              </w:rPr>
              <w:t>Appréciation</w:t>
            </w:r>
          </w:p>
        </w:tc>
        <w:tc>
          <w:tcPr>
            <w:tcW w:w="1740" w:type="dxa"/>
          </w:tcPr>
          <w:p w:rsidR="00AB123B" w:rsidRPr="00AB123B" w:rsidRDefault="00AB123B" w:rsidP="00AB123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B123B">
              <w:rPr>
                <w:bCs/>
                <w:sz w:val="24"/>
                <w:szCs w:val="24"/>
              </w:rPr>
              <w:t>A consolider</w:t>
            </w:r>
          </w:p>
        </w:tc>
        <w:tc>
          <w:tcPr>
            <w:tcW w:w="1800" w:type="dxa"/>
          </w:tcPr>
          <w:p w:rsidR="00AB123B" w:rsidRPr="00AB123B" w:rsidRDefault="00AB123B" w:rsidP="00AB123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B123B">
              <w:rPr>
                <w:bCs/>
                <w:sz w:val="24"/>
                <w:szCs w:val="24"/>
              </w:rPr>
              <w:t>Satisfaisant</w:t>
            </w:r>
          </w:p>
        </w:tc>
        <w:tc>
          <w:tcPr>
            <w:tcW w:w="1791" w:type="dxa"/>
          </w:tcPr>
          <w:p w:rsidR="00AB123B" w:rsidRPr="00AB123B" w:rsidRDefault="00AB123B" w:rsidP="00AB123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B123B">
              <w:rPr>
                <w:bCs/>
                <w:sz w:val="24"/>
                <w:szCs w:val="24"/>
              </w:rPr>
              <w:t>Très satisfaisant</w:t>
            </w:r>
          </w:p>
        </w:tc>
        <w:tc>
          <w:tcPr>
            <w:tcW w:w="1659" w:type="dxa"/>
          </w:tcPr>
          <w:p w:rsidR="00AB123B" w:rsidRPr="00AB123B" w:rsidRDefault="00AB123B" w:rsidP="00AB123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B123B">
              <w:rPr>
                <w:bCs/>
                <w:sz w:val="24"/>
                <w:szCs w:val="24"/>
              </w:rPr>
              <w:t>Excellent</w:t>
            </w:r>
          </w:p>
        </w:tc>
      </w:tr>
      <w:tr w:rsidR="00AB123B" w:rsidRPr="00AB123B" w:rsidTr="006060D4">
        <w:trPr>
          <w:jc w:val="center"/>
        </w:trPr>
        <w:tc>
          <w:tcPr>
            <w:tcW w:w="1923" w:type="dxa"/>
          </w:tcPr>
          <w:p w:rsidR="00AB123B" w:rsidRPr="00AB123B" w:rsidRDefault="00AB123B" w:rsidP="00AB123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B123B">
              <w:rPr>
                <w:bCs/>
                <w:sz w:val="24"/>
                <w:szCs w:val="24"/>
              </w:rPr>
              <w:t xml:space="preserve">Points </w:t>
            </w:r>
          </w:p>
        </w:tc>
        <w:tc>
          <w:tcPr>
            <w:tcW w:w="1740" w:type="dxa"/>
          </w:tcPr>
          <w:p w:rsidR="00AB123B" w:rsidRPr="00AB123B" w:rsidRDefault="00AB123B" w:rsidP="00AB123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AB123B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AB123B" w:rsidRPr="00AB123B" w:rsidRDefault="00AB123B" w:rsidP="00AB123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AB123B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91" w:type="dxa"/>
          </w:tcPr>
          <w:p w:rsidR="00AB123B" w:rsidRPr="00AB123B" w:rsidRDefault="00AB123B" w:rsidP="00AB123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AB123B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659" w:type="dxa"/>
          </w:tcPr>
          <w:p w:rsidR="00AB123B" w:rsidRPr="00AB123B" w:rsidRDefault="00AB123B" w:rsidP="00AB123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AB123B">
              <w:rPr>
                <w:b/>
                <w:bCs/>
                <w:sz w:val="24"/>
                <w:szCs w:val="24"/>
              </w:rPr>
              <w:t>145</w:t>
            </w:r>
          </w:p>
        </w:tc>
      </w:tr>
    </w:tbl>
    <w:p w:rsidR="00AB123B" w:rsidRDefault="00AB123B" w:rsidP="00AB123B">
      <w:pPr>
        <w:spacing w:after="0"/>
        <w:jc w:val="both"/>
        <w:rPr>
          <w:bCs/>
          <w:sz w:val="24"/>
          <w:szCs w:val="24"/>
        </w:rPr>
      </w:pPr>
    </w:p>
    <w:p w:rsidR="00AB123B" w:rsidRDefault="00AB123B" w:rsidP="00AB123B">
      <w:pPr>
        <w:spacing w:after="0"/>
        <w:rPr>
          <w:bCs/>
          <w:sz w:val="24"/>
          <w:szCs w:val="24"/>
        </w:rPr>
      </w:pPr>
      <w:r w:rsidRPr="00AB123B">
        <w:rPr>
          <w:bCs/>
          <w:sz w:val="24"/>
          <w:szCs w:val="24"/>
          <w:u w:val="single"/>
        </w:rPr>
        <w:t>Ancienneté </w:t>
      </w:r>
      <w:r w:rsidRPr="001761EF">
        <w:rPr>
          <w:bCs/>
          <w:sz w:val="24"/>
          <w:szCs w:val="24"/>
        </w:rPr>
        <w:t xml:space="preserve">: </w:t>
      </w:r>
      <w:r w:rsidR="001761EF" w:rsidRPr="001761EF">
        <w:rPr>
          <w:bCs/>
          <w:sz w:val="24"/>
          <w:szCs w:val="24"/>
        </w:rPr>
        <w:t>C</w:t>
      </w:r>
      <w:r w:rsidRPr="001761EF">
        <w:rPr>
          <w:bCs/>
          <w:sz w:val="24"/>
          <w:szCs w:val="24"/>
        </w:rPr>
        <w:t>alculée sur la base de l'échelon détenu et de l'ancienneté (en année) dans l'échelon au 31 août 2020.</w:t>
      </w:r>
    </w:p>
    <w:p w:rsidR="001761EF" w:rsidRDefault="001761EF" w:rsidP="00AB123B">
      <w:pPr>
        <w:spacing w:after="0"/>
        <w:rPr>
          <w:bCs/>
          <w:sz w:val="24"/>
          <w:szCs w:val="24"/>
        </w:rPr>
      </w:pPr>
    </w:p>
    <w:p w:rsidR="001761EF" w:rsidRDefault="001761EF" w:rsidP="00AB123B">
      <w:pPr>
        <w:spacing w:after="0"/>
        <w:rPr>
          <w:bCs/>
          <w:sz w:val="24"/>
          <w:szCs w:val="24"/>
        </w:rPr>
      </w:pPr>
      <w:r w:rsidRPr="00727156">
        <w:rPr>
          <w:b/>
          <w:bCs/>
          <w:sz w:val="24"/>
          <w:szCs w:val="24"/>
          <w:u w:val="single"/>
        </w:rPr>
        <w:t xml:space="preserve">Promotion : </w:t>
      </w:r>
      <w:r w:rsidRPr="00727156">
        <w:rPr>
          <w:bCs/>
          <w:sz w:val="24"/>
          <w:szCs w:val="24"/>
        </w:rPr>
        <w:t>Il y a un contingent académique que le ministère alloue</w:t>
      </w:r>
      <w:r w:rsidR="00C369E5" w:rsidRPr="00727156">
        <w:rPr>
          <w:bCs/>
          <w:sz w:val="24"/>
          <w:szCs w:val="24"/>
        </w:rPr>
        <w:t xml:space="preserve"> (17% soit 19 promotions </w:t>
      </w:r>
      <w:r w:rsidR="00DA1659" w:rsidRPr="00727156">
        <w:rPr>
          <w:bCs/>
          <w:sz w:val="24"/>
          <w:szCs w:val="24"/>
        </w:rPr>
        <w:t>prévue</w:t>
      </w:r>
      <w:r w:rsidR="00AB18FC" w:rsidRPr="00727156">
        <w:rPr>
          <w:bCs/>
          <w:sz w:val="24"/>
          <w:szCs w:val="24"/>
        </w:rPr>
        <w:t>s</w:t>
      </w:r>
      <w:r w:rsidR="00DA1659" w:rsidRPr="00727156">
        <w:rPr>
          <w:bCs/>
          <w:sz w:val="24"/>
          <w:szCs w:val="24"/>
        </w:rPr>
        <w:t xml:space="preserve"> </w:t>
      </w:r>
      <w:r w:rsidR="00C369E5" w:rsidRPr="00727156">
        <w:rPr>
          <w:bCs/>
          <w:sz w:val="24"/>
          <w:szCs w:val="24"/>
        </w:rPr>
        <w:t>cette année)</w:t>
      </w:r>
      <w:r w:rsidRPr="00727156">
        <w:rPr>
          <w:bCs/>
          <w:sz w:val="24"/>
          <w:szCs w:val="24"/>
        </w:rPr>
        <w:t xml:space="preserve">. A </w:t>
      </w:r>
      <w:r>
        <w:rPr>
          <w:bCs/>
          <w:sz w:val="24"/>
          <w:szCs w:val="24"/>
        </w:rPr>
        <w:t xml:space="preserve">cela doit s’ajouter un regard particulier sur le respect de la </w:t>
      </w:r>
      <w:r w:rsidR="00AB18FC">
        <w:rPr>
          <w:bCs/>
          <w:sz w:val="24"/>
          <w:szCs w:val="24"/>
        </w:rPr>
        <w:t>parité homme/</w:t>
      </w:r>
      <w:r>
        <w:rPr>
          <w:bCs/>
          <w:sz w:val="24"/>
          <w:szCs w:val="24"/>
        </w:rPr>
        <w:t>femme mais aussi sur le fait que chaque agent (depuis le PPCR)</w:t>
      </w:r>
      <w:r w:rsidR="00887DCF">
        <w:rPr>
          <w:bCs/>
          <w:sz w:val="24"/>
          <w:szCs w:val="24"/>
        </w:rPr>
        <w:t xml:space="preserve"> doit faire sa carrière sur 2 corps.</w:t>
      </w:r>
    </w:p>
    <w:p w:rsidR="00F62286" w:rsidRDefault="00F62286" w:rsidP="00AB12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(Les EDA détachés du corps des PE peuvent bénéficier de la double carrière et ainsi être promus soit au titre des </w:t>
      </w:r>
      <w:proofErr w:type="spellStart"/>
      <w:r>
        <w:rPr>
          <w:bCs/>
          <w:sz w:val="24"/>
          <w:szCs w:val="24"/>
        </w:rPr>
        <w:t>PSyEN</w:t>
      </w:r>
      <w:proofErr w:type="spellEnd"/>
      <w:r>
        <w:rPr>
          <w:bCs/>
          <w:sz w:val="24"/>
          <w:szCs w:val="24"/>
        </w:rPr>
        <w:t xml:space="preserve"> soit eu titre des PE).</w:t>
      </w:r>
    </w:p>
    <w:p w:rsidR="00044693" w:rsidRDefault="00044693" w:rsidP="00AB12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En 2019 il y a eu 21 promus sur 116 promouvables.</w:t>
      </w:r>
    </w:p>
    <w:p w:rsidR="00A15C47" w:rsidRDefault="00A15C47" w:rsidP="00AB123B">
      <w:pPr>
        <w:spacing w:after="0"/>
        <w:rPr>
          <w:bCs/>
          <w:sz w:val="24"/>
          <w:szCs w:val="24"/>
        </w:rPr>
      </w:pPr>
    </w:p>
    <w:p w:rsidR="00A15C47" w:rsidRPr="00727156" w:rsidRDefault="00A15C47" w:rsidP="00AB123B">
      <w:pPr>
        <w:spacing w:after="0"/>
        <w:rPr>
          <w:b/>
          <w:sz w:val="24"/>
          <w:szCs w:val="24"/>
        </w:rPr>
      </w:pPr>
      <w:r w:rsidRPr="00727156">
        <w:rPr>
          <w:b/>
          <w:sz w:val="24"/>
          <w:szCs w:val="24"/>
        </w:rPr>
        <w:t>A la FSU nous demandons :</w:t>
      </w:r>
    </w:p>
    <w:p w:rsidR="00A15C47" w:rsidRPr="00727156" w:rsidRDefault="00A15C47" w:rsidP="00AB123B">
      <w:pPr>
        <w:spacing w:after="0"/>
        <w:rPr>
          <w:b/>
          <w:sz w:val="24"/>
          <w:szCs w:val="24"/>
        </w:rPr>
      </w:pPr>
      <w:r w:rsidRPr="00727156">
        <w:rPr>
          <w:b/>
          <w:sz w:val="24"/>
          <w:szCs w:val="24"/>
        </w:rPr>
        <w:t xml:space="preserve">-que les avis et appréciations puissent être révisables et en particulier pour les agents dit « du stock » qui n’ont pas bénéficié d’un entretien de carrière et </w:t>
      </w:r>
      <w:r w:rsidR="00C369E5" w:rsidRPr="00727156">
        <w:rPr>
          <w:b/>
          <w:sz w:val="24"/>
          <w:szCs w:val="24"/>
        </w:rPr>
        <w:t>dont</w:t>
      </w:r>
      <w:r w:rsidRPr="00727156">
        <w:rPr>
          <w:b/>
          <w:sz w:val="24"/>
          <w:szCs w:val="24"/>
        </w:rPr>
        <w:t xml:space="preserve"> les avis </w:t>
      </w:r>
      <w:r w:rsidR="00C369E5" w:rsidRPr="00727156">
        <w:rPr>
          <w:b/>
          <w:sz w:val="24"/>
          <w:szCs w:val="24"/>
        </w:rPr>
        <w:t xml:space="preserve">ont été </w:t>
      </w:r>
      <w:r w:rsidRPr="00727156">
        <w:rPr>
          <w:b/>
          <w:sz w:val="24"/>
          <w:szCs w:val="24"/>
        </w:rPr>
        <w:t>contingentés</w:t>
      </w:r>
      <w:r w:rsidR="003A5A6B" w:rsidRPr="00727156">
        <w:rPr>
          <w:b/>
          <w:sz w:val="24"/>
          <w:szCs w:val="24"/>
        </w:rPr>
        <w:t xml:space="preserve"> (beaucoup moins d’avis favorables que ceux qui ont eu un rendez-vous de carrière). </w:t>
      </w:r>
    </w:p>
    <w:p w:rsidR="00D133C1" w:rsidRPr="00727156" w:rsidRDefault="00B41FDF" w:rsidP="00AB123B">
      <w:pPr>
        <w:spacing w:after="0"/>
        <w:rPr>
          <w:b/>
          <w:sz w:val="24"/>
          <w:szCs w:val="24"/>
        </w:rPr>
      </w:pPr>
      <w:r w:rsidRPr="00727156">
        <w:rPr>
          <w:b/>
          <w:sz w:val="24"/>
          <w:szCs w:val="24"/>
        </w:rPr>
        <w:t xml:space="preserve">-Nous </w:t>
      </w:r>
      <w:r w:rsidR="00C369E5" w:rsidRPr="00727156">
        <w:rPr>
          <w:b/>
          <w:sz w:val="24"/>
          <w:szCs w:val="24"/>
        </w:rPr>
        <w:t>rappellerons</w:t>
      </w:r>
      <w:r w:rsidRPr="00727156">
        <w:rPr>
          <w:b/>
          <w:sz w:val="24"/>
          <w:szCs w:val="24"/>
        </w:rPr>
        <w:t xml:space="preserve"> que chaque agent doit pouvoir </w:t>
      </w:r>
      <w:r w:rsidR="00C369E5" w:rsidRPr="00727156">
        <w:rPr>
          <w:b/>
          <w:sz w:val="24"/>
          <w:szCs w:val="24"/>
        </w:rPr>
        <w:t xml:space="preserve">accéder à </w:t>
      </w:r>
      <w:proofErr w:type="gramStart"/>
      <w:r w:rsidR="00C369E5" w:rsidRPr="00727156">
        <w:rPr>
          <w:b/>
          <w:sz w:val="24"/>
          <w:szCs w:val="24"/>
        </w:rPr>
        <w:t>la</w:t>
      </w:r>
      <w:proofErr w:type="gramEnd"/>
      <w:r w:rsidR="00C369E5" w:rsidRPr="00727156">
        <w:rPr>
          <w:b/>
          <w:sz w:val="24"/>
          <w:szCs w:val="24"/>
        </w:rPr>
        <w:t xml:space="preserve"> hors classe avant le départ à la retraite</w:t>
      </w:r>
      <w:r w:rsidRPr="00727156">
        <w:rPr>
          <w:b/>
          <w:sz w:val="24"/>
          <w:szCs w:val="24"/>
        </w:rPr>
        <w:t>.</w:t>
      </w:r>
    </w:p>
    <w:p w:rsidR="00D133C1" w:rsidRPr="00727156" w:rsidRDefault="00D133C1">
      <w:pPr>
        <w:rPr>
          <w:b/>
          <w:sz w:val="24"/>
          <w:szCs w:val="24"/>
        </w:rPr>
      </w:pPr>
      <w:r w:rsidRPr="00727156">
        <w:rPr>
          <w:b/>
          <w:sz w:val="24"/>
          <w:szCs w:val="24"/>
        </w:rPr>
        <w:br w:type="page"/>
      </w:r>
    </w:p>
    <w:p w:rsidR="00D133C1" w:rsidRDefault="003A5A6B" w:rsidP="00D133C1">
      <w:pPr>
        <w:spacing w:after="0"/>
        <w:jc w:val="center"/>
        <w:rPr>
          <w:bCs/>
          <w:sz w:val="32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AB00C65" wp14:editId="4ED875FA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133475" cy="1347470"/>
            <wp:effectExtent l="0" t="0" r="952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C1" w:rsidRPr="00D133C1">
        <w:rPr>
          <w:bCs/>
          <w:sz w:val="32"/>
          <w:szCs w:val="32"/>
          <w:u w:val="single"/>
        </w:rPr>
        <w:t>Accès à la « </w:t>
      </w:r>
      <w:r w:rsidR="00D133C1">
        <w:rPr>
          <w:bCs/>
          <w:sz w:val="32"/>
          <w:szCs w:val="32"/>
          <w:u w:val="single"/>
        </w:rPr>
        <w:t>classe exceptionnelle</w:t>
      </w:r>
      <w:r w:rsidR="00D133C1" w:rsidRPr="00D133C1">
        <w:rPr>
          <w:bCs/>
          <w:sz w:val="32"/>
          <w:szCs w:val="32"/>
          <w:u w:val="single"/>
        </w:rPr>
        <w:t> »</w:t>
      </w:r>
    </w:p>
    <w:p w:rsidR="00D133C1" w:rsidRDefault="00D133C1" w:rsidP="00D133C1">
      <w:pPr>
        <w:spacing w:after="0"/>
        <w:jc w:val="center"/>
        <w:rPr>
          <w:bCs/>
          <w:sz w:val="32"/>
          <w:szCs w:val="32"/>
          <w:u w:val="single"/>
        </w:rPr>
      </w:pPr>
    </w:p>
    <w:p w:rsidR="00D133C1" w:rsidRPr="00D133C1" w:rsidRDefault="00D133C1" w:rsidP="00D133C1">
      <w:pPr>
        <w:spacing w:after="0"/>
        <w:jc w:val="both"/>
        <w:rPr>
          <w:bCs/>
          <w:sz w:val="24"/>
          <w:szCs w:val="24"/>
          <w:u w:val="single"/>
        </w:rPr>
      </w:pPr>
    </w:p>
    <w:p w:rsidR="00B41FDF" w:rsidRDefault="00D133C1" w:rsidP="00AB123B">
      <w:pPr>
        <w:spacing w:after="0"/>
        <w:rPr>
          <w:bCs/>
          <w:sz w:val="24"/>
          <w:szCs w:val="24"/>
        </w:rPr>
      </w:pPr>
      <w:r w:rsidRPr="00D133C1">
        <w:rPr>
          <w:b/>
          <w:bCs/>
          <w:sz w:val="24"/>
          <w:szCs w:val="24"/>
          <w:u w:val="single"/>
        </w:rPr>
        <w:t>Qui est promouvable ?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Les PsyEN étant à la hors-classe au 31 août 2020 en pos</w:t>
      </w:r>
      <w:r w:rsidR="003165C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tion d’activité ou de détachement ou de mise à disposition.</w:t>
      </w:r>
    </w:p>
    <w:p w:rsidR="00D133C1" w:rsidRDefault="00D133C1" w:rsidP="00AB12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Il y a deux voies d’accès à la classe exceptionnelle :</w:t>
      </w:r>
    </w:p>
    <w:p w:rsidR="00D133C1" w:rsidRPr="00D133C1" w:rsidRDefault="00D133C1" w:rsidP="00D133C1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87BAD">
        <w:rPr>
          <w:bCs/>
          <w:sz w:val="24"/>
          <w:szCs w:val="24"/>
          <w:u w:val="single"/>
        </w:rPr>
        <w:t>Voie 1 ou vivier 1</w:t>
      </w:r>
      <w:r w:rsidRPr="00D133C1">
        <w:rPr>
          <w:bCs/>
          <w:sz w:val="24"/>
          <w:szCs w:val="24"/>
        </w:rPr>
        <w:t> : les psychologues ayant atteint le 3</w:t>
      </w:r>
      <w:r w:rsidRPr="00D133C1">
        <w:rPr>
          <w:bCs/>
          <w:sz w:val="24"/>
          <w:szCs w:val="24"/>
          <w:vertAlign w:val="superscript"/>
        </w:rPr>
        <w:t>ème</w:t>
      </w:r>
      <w:r w:rsidRPr="00D133C1">
        <w:rPr>
          <w:bCs/>
          <w:sz w:val="24"/>
          <w:szCs w:val="24"/>
        </w:rPr>
        <w:t xml:space="preserve"> échelon de la hors classe et comptant huit années de carrière sur des affec</w:t>
      </w:r>
      <w:r w:rsidR="003165CE">
        <w:rPr>
          <w:bCs/>
          <w:sz w:val="24"/>
          <w:szCs w:val="24"/>
        </w:rPr>
        <w:t>tations ou missions spécifiques (éducation prioritaire, DCIO, tuteur</w:t>
      </w:r>
      <w:r w:rsidR="003A5A6B">
        <w:rPr>
          <w:bCs/>
          <w:sz w:val="24"/>
          <w:szCs w:val="24"/>
        </w:rPr>
        <w:t>, enseignant référent, directeur,</w:t>
      </w:r>
      <w:r w:rsidR="00B87BAD">
        <w:rPr>
          <w:bCs/>
          <w:sz w:val="24"/>
          <w:szCs w:val="24"/>
        </w:rPr>
        <w:t xml:space="preserve">… </w:t>
      </w:r>
      <w:proofErr w:type="spellStart"/>
      <w:r w:rsidR="00B87BAD">
        <w:rPr>
          <w:bCs/>
          <w:sz w:val="24"/>
          <w:szCs w:val="24"/>
        </w:rPr>
        <w:t>cf</w:t>
      </w:r>
      <w:proofErr w:type="spellEnd"/>
      <w:r w:rsidR="00B87BAD">
        <w:rPr>
          <w:bCs/>
          <w:sz w:val="24"/>
          <w:szCs w:val="24"/>
        </w:rPr>
        <w:t xml:space="preserve"> arrêté du 10 mai 2017 modifié fixant les conditions d’exercice et des fonctions particulières des personnels concernés pour un avancement à la classe exceptionnelle</w:t>
      </w:r>
      <w:r w:rsidR="00B87BAD" w:rsidRPr="00727156">
        <w:rPr>
          <w:bCs/>
          <w:sz w:val="24"/>
          <w:szCs w:val="24"/>
        </w:rPr>
        <w:t xml:space="preserve">). </w:t>
      </w:r>
      <w:r w:rsidR="007C5F5A" w:rsidRPr="00727156">
        <w:rPr>
          <w:bCs/>
          <w:sz w:val="24"/>
          <w:szCs w:val="24"/>
        </w:rPr>
        <w:t>L</w:t>
      </w:r>
      <w:r w:rsidR="00B87BAD" w:rsidRPr="00727156">
        <w:rPr>
          <w:bCs/>
          <w:sz w:val="24"/>
          <w:szCs w:val="24"/>
        </w:rPr>
        <w:t xml:space="preserve">es PsyEN </w:t>
      </w:r>
      <w:r w:rsidR="007C5F5A" w:rsidRPr="00727156">
        <w:rPr>
          <w:bCs/>
          <w:sz w:val="24"/>
          <w:szCs w:val="24"/>
        </w:rPr>
        <w:t xml:space="preserve">promouvables au vivier 1 </w:t>
      </w:r>
      <w:r w:rsidR="00B87BAD" w:rsidRPr="00727156">
        <w:rPr>
          <w:bCs/>
          <w:sz w:val="24"/>
          <w:szCs w:val="24"/>
        </w:rPr>
        <w:t xml:space="preserve">sont invités à compléter leurs CV afin de renseigner </w:t>
      </w:r>
      <w:r w:rsidR="00B87BAD">
        <w:rPr>
          <w:bCs/>
          <w:sz w:val="24"/>
          <w:szCs w:val="24"/>
        </w:rPr>
        <w:t>les données relatives aux affectations éligibles au titre de cette voie de promotion.</w:t>
      </w:r>
    </w:p>
    <w:p w:rsidR="00D133C1" w:rsidRDefault="00D133C1" w:rsidP="00D133C1">
      <w:pPr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87BAD">
        <w:rPr>
          <w:bCs/>
          <w:sz w:val="24"/>
          <w:szCs w:val="24"/>
          <w:u w:val="single"/>
        </w:rPr>
        <w:t>Voie 2 ou vivier 2</w:t>
      </w:r>
      <w:r w:rsidRPr="00D133C1">
        <w:rPr>
          <w:bCs/>
          <w:sz w:val="24"/>
          <w:szCs w:val="24"/>
        </w:rPr>
        <w:t> : tous les psychologues ayant atteint le 6</w:t>
      </w:r>
      <w:r w:rsidRPr="00D133C1">
        <w:rPr>
          <w:bCs/>
          <w:sz w:val="24"/>
          <w:szCs w:val="24"/>
          <w:vertAlign w:val="superscript"/>
        </w:rPr>
        <w:t>ème</w:t>
      </w:r>
      <w:r w:rsidRPr="00D133C1">
        <w:rPr>
          <w:bCs/>
          <w:sz w:val="24"/>
          <w:szCs w:val="24"/>
        </w:rPr>
        <w:t xml:space="preserve"> échelon de la hors classe</w:t>
      </w:r>
      <w:r w:rsidR="003165CE">
        <w:rPr>
          <w:bCs/>
          <w:sz w:val="24"/>
          <w:szCs w:val="24"/>
        </w:rPr>
        <w:t>. Cela correspond à l’ancienneté de carrière</w:t>
      </w:r>
    </w:p>
    <w:p w:rsidR="000A0851" w:rsidRDefault="000A0851" w:rsidP="000A0851">
      <w:pPr>
        <w:spacing w:after="0"/>
        <w:rPr>
          <w:bCs/>
          <w:sz w:val="24"/>
          <w:szCs w:val="24"/>
        </w:rPr>
      </w:pPr>
    </w:p>
    <w:p w:rsidR="007B1514" w:rsidRDefault="007B1514" w:rsidP="000A0851">
      <w:pPr>
        <w:spacing w:after="0"/>
        <w:rPr>
          <w:b/>
          <w:bCs/>
          <w:sz w:val="24"/>
          <w:szCs w:val="24"/>
          <w:u w:val="single"/>
        </w:rPr>
      </w:pPr>
    </w:p>
    <w:p w:rsidR="000A0851" w:rsidRPr="00727156" w:rsidRDefault="000A0851" w:rsidP="000A0851">
      <w:pPr>
        <w:spacing w:after="0"/>
        <w:rPr>
          <w:bCs/>
          <w:sz w:val="24"/>
          <w:szCs w:val="24"/>
        </w:rPr>
      </w:pPr>
      <w:r w:rsidRPr="00727156">
        <w:rPr>
          <w:b/>
          <w:bCs/>
          <w:sz w:val="24"/>
          <w:szCs w:val="24"/>
          <w:u w:val="single"/>
        </w:rPr>
        <w:t>Classement </w:t>
      </w:r>
      <w:r w:rsidR="004033F9" w:rsidRPr="00727156">
        <w:rPr>
          <w:b/>
          <w:bCs/>
          <w:sz w:val="24"/>
          <w:szCs w:val="24"/>
          <w:u w:val="single"/>
        </w:rPr>
        <w:t xml:space="preserve">: </w:t>
      </w:r>
      <w:r w:rsidR="004033F9" w:rsidRPr="00727156">
        <w:rPr>
          <w:bCs/>
          <w:sz w:val="24"/>
          <w:szCs w:val="24"/>
        </w:rPr>
        <w:t xml:space="preserve">Pour chaque PsyEN promouvable, leurs supérieurs (IEN IO et DCIO pour les PsyEN EDO, DASEN et IENIO pour les DCIO, </w:t>
      </w:r>
      <w:r w:rsidR="005107ED" w:rsidRPr="00727156">
        <w:rPr>
          <w:bCs/>
          <w:sz w:val="24"/>
          <w:szCs w:val="24"/>
        </w:rPr>
        <w:t>IEN et D</w:t>
      </w:r>
      <w:r w:rsidR="00AB18FC" w:rsidRPr="00727156">
        <w:rPr>
          <w:bCs/>
          <w:sz w:val="24"/>
          <w:szCs w:val="24"/>
        </w:rPr>
        <w:t>ASEN</w:t>
      </w:r>
      <w:r w:rsidR="005107ED" w:rsidRPr="00727156">
        <w:rPr>
          <w:bCs/>
          <w:sz w:val="24"/>
          <w:szCs w:val="24"/>
        </w:rPr>
        <w:t xml:space="preserve"> Adjoint </w:t>
      </w:r>
      <w:r w:rsidR="004033F9" w:rsidRPr="00727156">
        <w:rPr>
          <w:bCs/>
          <w:sz w:val="24"/>
          <w:szCs w:val="24"/>
        </w:rPr>
        <w:t xml:space="preserve">pour les EDA) formulent </w:t>
      </w:r>
      <w:r w:rsidR="00DA1659" w:rsidRPr="00727156">
        <w:rPr>
          <w:bCs/>
          <w:sz w:val="24"/>
          <w:szCs w:val="24"/>
        </w:rPr>
        <w:t>un avis littéral</w:t>
      </w:r>
      <w:r w:rsidR="004033F9" w:rsidRPr="00727156">
        <w:rPr>
          <w:bCs/>
          <w:sz w:val="24"/>
          <w:szCs w:val="24"/>
        </w:rPr>
        <w:t xml:space="preserve"> afin d’apprécier leurs « mérites ». Le recteur formule  ensuite un avis.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92"/>
        <w:gridCol w:w="2061"/>
        <w:gridCol w:w="2051"/>
        <w:gridCol w:w="1900"/>
      </w:tblGrid>
      <w:tr w:rsidR="004033F9" w:rsidRPr="004033F9" w:rsidTr="006060D4">
        <w:trPr>
          <w:jc w:val="center"/>
        </w:trPr>
        <w:tc>
          <w:tcPr>
            <w:tcW w:w="1923" w:type="dxa"/>
          </w:tcPr>
          <w:p w:rsidR="004033F9" w:rsidRPr="004033F9" w:rsidRDefault="004033F9" w:rsidP="004033F9">
            <w:pPr>
              <w:spacing w:after="0"/>
              <w:rPr>
                <w:bCs/>
                <w:sz w:val="24"/>
                <w:szCs w:val="24"/>
              </w:rPr>
            </w:pPr>
            <w:r w:rsidRPr="004033F9">
              <w:rPr>
                <w:bCs/>
                <w:sz w:val="24"/>
                <w:szCs w:val="24"/>
              </w:rPr>
              <w:t>Appréciation</w:t>
            </w:r>
          </w:p>
        </w:tc>
        <w:tc>
          <w:tcPr>
            <w:tcW w:w="1740" w:type="dxa"/>
          </w:tcPr>
          <w:p w:rsidR="004033F9" w:rsidRPr="004033F9" w:rsidRDefault="004033F9" w:rsidP="004033F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Insatisfaisant</w:t>
            </w:r>
          </w:p>
        </w:tc>
        <w:tc>
          <w:tcPr>
            <w:tcW w:w="1800" w:type="dxa"/>
          </w:tcPr>
          <w:p w:rsidR="004033F9" w:rsidRPr="004033F9" w:rsidRDefault="004033F9" w:rsidP="004033F9">
            <w:pPr>
              <w:spacing w:after="0"/>
              <w:rPr>
                <w:bCs/>
                <w:sz w:val="24"/>
                <w:szCs w:val="24"/>
              </w:rPr>
            </w:pPr>
            <w:r w:rsidRPr="004033F9">
              <w:rPr>
                <w:bCs/>
                <w:sz w:val="24"/>
                <w:szCs w:val="24"/>
              </w:rPr>
              <w:t>Satisfaisant</w:t>
            </w:r>
          </w:p>
        </w:tc>
        <w:tc>
          <w:tcPr>
            <w:tcW w:w="1791" w:type="dxa"/>
          </w:tcPr>
          <w:p w:rsidR="004033F9" w:rsidRPr="004033F9" w:rsidRDefault="004033F9" w:rsidP="004033F9">
            <w:pPr>
              <w:spacing w:after="0"/>
              <w:rPr>
                <w:bCs/>
                <w:sz w:val="24"/>
                <w:szCs w:val="24"/>
              </w:rPr>
            </w:pPr>
            <w:r w:rsidRPr="004033F9">
              <w:rPr>
                <w:bCs/>
                <w:sz w:val="24"/>
                <w:szCs w:val="24"/>
              </w:rPr>
              <w:t>Très satisfaisant</w:t>
            </w:r>
          </w:p>
        </w:tc>
        <w:tc>
          <w:tcPr>
            <w:tcW w:w="1659" w:type="dxa"/>
          </w:tcPr>
          <w:p w:rsidR="004033F9" w:rsidRPr="004033F9" w:rsidRDefault="004033F9" w:rsidP="004033F9">
            <w:pPr>
              <w:spacing w:after="0"/>
              <w:rPr>
                <w:bCs/>
                <w:sz w:val="24"/>
                <w:szCs w:val="24"/>
              </w:rPr>
            </w:pPr>
            <w:r w:rsidRPr="004033F9">
              <w:rPr>
                <w:bCs/>
                <w:sz w:val="24"/>
                <w:szCs w:val="24"/>
              </w:rPr>
              <w:t>Excellent</w:t>
            </w:r>
          </w:p>
        </w:tc>
      </w:tr>
      <w:tr w:rsidR="004033F9" w:rsidRPr="004033F9" w:rsidTr="006060D4">
        <w:trPr>
          <w:jc w:val="center"/>
        </w:trPr>
        <w:tc>
          <w:tcPr>
            <w:tcW w:w="1923" w:type="dxa"/>
          </w:tcPr>
          <w:p w:rsidR="004033F9" w:rsidRPr="004033F9" w:rsidRDefault="004033F9" w:rsidP="004033F9">
            <w:pPr>
              <w:spacing w:after="0"/>
              <w:rPr>
                <w:bCs/>
                <w:sz w:val="24"/>
                <w:szCs w:val="24"/>
              </w:rPr>
            </w:pPr>
            <w:r w:rsidRPr="004033F9">
              <w:rPr>
                <w:bCs/>
                <w:sz w:val="24"/>
                <w:szCs w:val="24"/>
              </w:rPr>
              <w:t xml:space="preserve">Points </w:t>
            </w:r>
          </w:p>
        </w:tc>
        <w:tc>
          <w:tcPr>
            <w:tcW w:w="1740" w:type="dxa"/>
          </w:tcPr>
          <w:p w:rsidR="004033F9" w:rsidRPr="004033F9" w:rsidRDefault="004033F9" w:rsidP="004033F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033F9" w:rsidRPr="004033F9" w:rsidRDefault="004033F9" w:rsidP="004033F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91" w:type="dxa"/>
          </w:tcPr>
          <w:p w:rsidR="004033F9" w:rsidRPr="004033F9" w:rsidRDefault="004033F9" w:rsidP="004033F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659" w:type="dxa"/>
          </w:tcPr>
          <w:p w:rsidR="004033F9" w:rsidRPr="004033F9" w:rsidRDefault="004033F9" w:rsidP="004033F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</w:tr>
    </w:tbl>
    <w:p w:rsidR="004033F9" w:rsidRDefault="00D73EED" w:rsidP="000A085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 nombre des avis « excellent » et « très satisfaisant » est contingenté.</w:t>
      </w:r>
    </w:p>
    <w:p w:rsidR="007B1514" w:rsidRDefault="007B1514" w:rsidP="000A0851">
      <w:pPr>
        <w:spacing w:after="0"/>
        <w:rPr>
          <w:bCs/>
          <w:sz w:val="24"/>
          <w:szCs w:val="24"/>
        </w:rPr>
      </w:pPr>
    </w:p>
    <w:p w:rsidR="007B1514" w:rsidRDefault="007B1514" w:rsidP="000A0851">
      <w:pPr>
        <w:spacing w:after="0"/>
        <w:rPr>
          <w:bCs/>
          <w:sz w:val="24"/>
          <w:szCs w:val="24"/>
        </w:rPr>
      </w:pPr>
      <w:r w:rsidRPr="007B1514">
        <w:rPr>
          <w:b/>
          <w:bCs/>
          <w:sz w:val="24"/>
          <w:szCs w:val="24"/>
          <w:u w:val="single"/>
        </w:rPr>
        <w:t xml:space="preserve">Promotion : </w:t>
      </w:r>
      <w:r>
        <w:rPr>
          <w:bCs/>
          <w:sz w:val="24"/>
          <w:szCs w:val="24"/>
        </w:rPr>
        <w:t>Chaque année le ministère alloue le nombre de promotion possible au titre du vivier 1 et du vivier 2. A « mérite » égal c’est l’âge qui départage.</w:t>
      </w:r>
    </w:p>
    <w:p w:rsidR="007B1514" w:rsidRDefault="007B1514" w:rsidP="000A085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En 2019 il y a eu 5 promotions sur 19 promouvables au titre du vivier 1 et il n’y a pas eu de promotions au titre du vivier 2</w:t>
      </w:r>
      <w:r w:rsidR="003828E1">
        <w:rPr>
          <w:bCs/>
          <w:sz w:val="24"/>
          <w:szCs w:val="24"/>
        </w:rPr>
        <w:t>.</w:t>
      </w:r>
    </w:p>
    <w:p w:rsidR="003828E1" w:rsidRDefault="003828E1" w:rsidP="000A0851">
      <w:pPr>
        <w:spacing w:after="0"/>
        <w:rPr>
          <w:bCs/>
          <w:sz w:val="24"/>
          <w:szCs w:val="24"/>
        </w:rPr>
      </w:pPr>
    </w:p>
    <w:p w:rsidR="00DA1659" w:rsidRPr="00727156" w:rsidRDefault="003828E1" w:rsidP="00DA1659">
      <w:pPr>
        <w:spacing w:after="0"/>
        <w:rPr>
          <w:b/>
          <w:sz w:val="24"/>
          <w:szCs w:val="24"/>
        </w:rPr>
      </w:pPr>
      <w:r w:rsidRPr="00727156">
        <w:rPr>
          <w:b/>
          <w:sz w:val="24"/>
          <w:szCs w:val="24"/>
        </w:rPr>
        <w:t>A la FSU nous demandons</w:t>
      </w:r>
      <w:r w:rsidR="00DA1659" w:rsidRPr="00727156">
        <w:rPr>
          <w:b/>
          <w:sz w:val="24"/>
          <w:szCs w:val="24"/>
        </w:rPr>
        <w:t> :</w:t>
      </w:r>
    </w:p>
    <w:p w:rsidR="00DA1659" w:rsidRPr="00727156" w:rsidRDefault="00DA1659" w:rsidP="00DA1659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27156">
        <w:rPr>
          <w:b/>
          <w:sz w:val="24"/>
          <w:szCs w:val="24"/>
        </w:rPr>
        <w:t>Que tou</w:t>
      </w:r>
      <w:r w:rsidR="00AB18FC" w:rsidRPr="00727156">
        <w:rPr>
          <w:b/>
          <w:sz w:val="24"/>
          <w:szCs w:val="24"/>
        </w:rPr>
        <w:t>s</w:t>
      </w:r>
      <w:r w:rsidRPr="00727156">
        <w:rPr>
          <w:b/>
          <w:sz w:val="24"/>
          <w:szCs w:val="24"/>
        </w:rPr>
        <w:t xml:space="preserve"> les PsyEN puissent accéder avant la retraite à la classe exceptionnelle </w:t>
      </w:r>
      <w:r w:rsidR="00F9423A" w:rsidRPr="00727156">
        <w:rPr>
          <w:b/>
          <w:sz w:val="24"/>
          <w:szCs w:val="24"/>
        </w:rPr>
        <w:t>avec la réunification des deux viviers.</w:t>
      </w:r>
    </w:p>
    <w:p w:rsidR="00DA1659" w:rsidRPr="00727156" w:rsidRDefault="00DA1659" w:rsidP="000A0851">
      <w:pPr>
        <w:spacing w:after="0"/>
        <w:rPr>
          <w:b/>
          <w:sz w:val="24"/>
          <w:szCs w:val="24"/>
        </w:rPr>
      </w:pPr>
    </w:p>
    <w:p w:rsidR="003828E1" w:rsidRPr="00727156" w:rsidRDefault="003828E1" w:rsidP="003828E1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27156">
        <w:rPr>
          <w:b/>
          <w:sz w:val="24"/>
          <w:szCs w:val="24"/>
        </w:rPr>
        <w:t xml:space="preserve">Que les années </w:t>
      </w:r>
      <w:r w:rsidR="00C369E5" w:rsidRPr="00727156">
        <w:rPr>
          <w:b/>
          <w:sz w:val="24"/>
          <w:szCs w:val="24"/>
        </w:rPr>
        <w:t>d’exercice en</w:t>
      </w:r>
      <w:r w:rsidRPr="00727156">
        <w:rPr>
          <w:b/>
          <w:sz w:val="24"/>
          <w:szCs w:val="24"/>
        </w:rPr>
        <w:t xml:space="preserve"> éducation prioritaire puissent aussi être </w:t>
      </w:r>
      <w:r w:rsidR="00AB18FC" w:rsidRPr="00727156">
        <w:rPr>
          <w:b/>
          <w:sz w:val="24"/>
          <w:szCs w:val="24"/>
        </w:rPr>
        <w:t>prises</w:t>
      </w:r>
      <w:r w:rsidRPr="00727156">
        <w:rPr>
          <w:b/>
          <w:sz w:val="24"/>
          <w:szCs w:val="24"/>
        </w:rPr>
        <w:t xml:space="preserve"> en compte pour les PsyEN EDO, certaines académies l’ont fait l’année dernière mais pas Bordeaux malgré notre insistance.</w:t>
      </w:r>
    </w:p>
    <w:p w:rsidR="000A0851" w:rsidRPr="00D133C1" w:rsidRDefault="000A0851" w:rsidP="000A0851">
      <w:pPr>
        <w:spacing w:after="0"/>
        <w:ind w:left="360"/>
        <w:rPr>
          <w:bCs/>
          <w:sz w:val="24"/>
          <w:szCs w:val="24"/>
        </w:rPr>
      </w:pPr>
    </w:p>
    <w:p w:rsidR="00AB123B" w:rsidRPr="00AB123B" w:rsidRDefault="00AB123B" w:rsidP="00AB123B">
      <w:pPr>
        <w:spacing w:after="0"/>
        <w:jc w:val="both"/>
        <w:rPr>
          <w:bCs/>
          <w:sz w:val="24"/>
          <w:szCs w:val="24"/>
          <w:u w:val="single"/>
        </w:rPr>
      </w:pPr>
    </w:p>
    <w:p w:rsidR="00AB123B" w:rsidRPr="00AB123B" w:rsidRDefault="00AB123B" w:rsidP="00615CCC">
      <w:pPr>
        <w:spacing w:after="0"/>
        <w:jc w:val="both"/>
        <w:rPr>
          <w:sz w:val="24"/>
          <w:szCs w:val="24"/>
        </w:rPr>
      </w:pPr>
    </w:p>
    <w:p w:rsidR="00615CCC" w:rsidRDefault="00615CCC"/>
    <w:sectPr w:rsidR="0061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78BF"/>
    <w:multiLevelType w:val="hybridMultilevel"/>
    <w:tmpl w:val="E87C928C"/>
    <w:lvl w:ilvl="0" w:tplc="676C28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CC"/>
    <w:rsid w:val="00044693"/>
    <w:rsid w:val="000A0851"/>
    <w:rsid w:val="001761EF"/>
    <w:rsid w:val="003165CE"/>
    <w:rsid w:val="003828E1"/>
    <w:rsid w:val="003A5A6B"/>
    <w:rsid w:val="004033F9"/>
    <w:rsid w:val="00411697"/>
    <w:rsid w:val="005107ED"/>
    <w:rsid w:val="00615CCC"/>
    <w:rsid w:val="00727156"/>
    <w:rsid w:val="007A425C"/>
    <w:rsid w:val="007B1514"/>
    <w:rsid w:val="007C5F5A"/>
    <w:rsid w:val="00887DCF"/>
    <w:rsid w:val="00A15C47"/>
    <w:rsid w:val="00AB123B"/>
    <w:rsid w:val="00AB18FC"/>
    <w:rsid w:val="00B41FDF"/>
    <w:rsid w:val="00B87BAD"/>
    <w:rsid w:val="00C268BE"/>
    <w:rsid w:val="00C369E5"/>
    <w:rsid w:val="00D133C1"/>
    <w:rsid w:val="00D73EED"/>
    <w:rsid w:val="00DA1659"/>
    <w:rsid w:val="00F62286"/>
    <w:rsid w:val="00F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9343"/>
  <w15:docId w15:val="{609352D9-8980-4C24-A3A7-9288B60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123B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8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jean rustique</cp:lastModifiedBy>
  <cp:revision>2</cp:revision>
  <dcterms:created xsi:type="dcterms:W3CDTF">2020-05-10T10:46:00Z</dcterms:created>
  <dcterms:modified xsi:type="dcterms:W3CDTF">2020-05-10T10:46:00Z</dcterms:modified>
</cp:coreProperties>
</file>